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60351D" w14:textId="77777777" w:rsidR="008A12E8" w:rsidRPr="00CD6567" w:rsidRDefault="008A12E8" w:rsidP="008A12E8">
      <w:pPr>
        <w:pBdr>
          <w:bottom w:val="single" w:sz="4" w:space="1" w:color="000000"/>
        </w:pBdr>
        <w:spacing w:after="240" w:line="240" w:lineRule="auto"/>
        <w:jc w:val="both"/>
        <w:rPr>
          <w:rFonts w:asciiTheme="majorBidi" w:hAnsiTheme="majorBidi" w:cstheme="majorBidi"/>
          <w:b/>
          <w:sz w:val="32"/>
          <w:szCs w:val="32"/>
          <w:highlight w:val="white"/>
        </w:rPr>
      </w:pPr>
      <w:r w:rsidRPr="00CD6567">
        <w:rPr>
          <w:rFonts w:asciiTheme="majorBidi" w:hAnsiTheme="majorBidi" w:cstheme="majorBidi"/>
          <w:b/>
          <w:sz w:val="32"/>
          <w:szCs w:val="32"/>
          <w:highlight w:val="white"/>
        </w:rPr>
        <w:t>Supplementary file</w:t>
      </w:r>
    </w:p>
    <w:p w14:paraId="686A12CD" w14:textId="77777777" w:rsidR="008A12E8" w:rsidRDefault="008A12E8" w:rsidP="008A12E8">
      <w:pPr>
        <w:pStyle w:val="MDPI13authornames"/>
        <w:rPr>
          <w:rFonts w:asciiTheme="majorBidi" w:hAnsiTheme="majorBidi" w:cstheme="majorBidi"/>
          <w:snapToGrid w:val="0"/>
          <w:sz w:val="36"/>
          <w:szCs w:val="36"/>
        </w:rPr>
      </w:pPr>
    </w:p>
    <w:p w14:paraId="2767E98E" w14:textId="46AFFC2D" w:rsidR="009D0FA8" w:rsidRPr="00806818" w:rsidRDefault="009D0FA8" w:rsidP="009D0FA8">
      <w:pPr>
        <w:pStyle w:val="MDPI13authornames"/>
        <w:jc w:val="center"/>
        <w:rPr>
          <w:rFonts w:asciiTheme="majorBidi" w:hAnsiTheme="majorBidi" w:cstheme="majorBidi"/>
          <w:sz w:val="36"/>
          <w:szCs w:val="36"/>
        </w:rPr>
      </w:pPr>
      <w:r w:rsidRPr="00806818">
        <w:rPr>
          <w:rFonts w:asciiTheme="majorBidi" w:hAnsiTheme="majorBidi" w:cstheme="majorBidi"/>
          <w:snapToGrid w:val="0"/>
          <w:sz w:val="36"/>
          <w:szCs w:val="36"/>
        </w:rPr>
        <w:t>A combined microfluidic deep learning approach for lung cancer cell high throughput screening toward automatic cancer screening applications</w:t>
      </w:r>
    </w:p>
    <w:p w14:paraId="5877B5F1" w14:textId="77777777" w:rsidR="009D0FA8" w:rsidRPr="00C61E39" w:rsidRDefault="009D0FA8" w:rsidP="009D0FA8">
      <w:pPr>
        <w:pStyle w:val="MDPI13authornames"/>
        <w:rPr>
          <w:rFonts w:asciiTheme="majorBidi" w:hAnsiTheme="majorBidi" w:cstheme="majorBidi"/>
        </w:rPr>
      </w:pPr>
      <w:r w:rsidRPr="00C61E39">
        <w:rPr>
          <w:rFonts w:asciiTheme="majorBidi" w:hAnsiTheme="majorBidi" w:cstheme="majorBidi"/>
        </w:rPr>
        <w:t xml:space="preserve">Hadi Hashemzadeh </w:t>
      </w:r>
      <w:r w:rsidRPr="00C61E39">
        <w:rPr>
          <w:rFonts w:asciiTheme="majorBidi" w:hAnsiTheme="majorBidi" w:cstheme="majorBidi"/>
          <w:vertAlign w:val="superscript"/>
        </w:rPr>
        <w:t>1, †</w:t>
      </w:r>
      <w:r w:rsidRPr="00C61E39">
        <w:rPr>
          <w:rFonts w:asciiTheme="majorBidi" w:hAnsiTheme="majorBidi" w:cstheme="majorBidi"/>
        </w:rPr>
        <w:t xml:space="preserve">, </w:t>
      </w:r>
      <w:proofErr w:type="spellStart"/>
      <w:r w:rsidRPr="00C61E39">
        <w:rPr>
          <w:rFonts w:asciiTheme="majorBidi" w:hAnsiTheme="majorBidi" w:cstheme="majorBidi"/>
        </w:rPr>
        <w:t>Seyedehsamaneh</w:t>
      </w:r>
      <w:proofErr w:type="spellEnd"/>
      <w:r w:rsidRPr="00C61E39">
        <w:rPr>
          <w:rFonts w:asciiTheme="majorBidi" w:hAnsiTheme="majorBidi" w:cstheme="majorBidi"/>
        </w:rPr>
        <w:t xml:space="preserve"> </w:t>
      </w:r>
      <w:proofErr w:type="spellStart"/>
      <w:r w:rsidRPr="00C61E39">
        <w:rPr>
          <w:rFonts w:asciiTheme="majorBidi" w:hAnsiTheme="majorBidi" w:cstheme="majorBidi"/>
        </w:rPr>
        <w:t>Shojaeilangari</w:t>
      </w:r>
      <w:proofErr w:type="spellEnd"/>
      <w:r w:rsidRPr="00C61E39">
        <w:rPr>
          <w:rFonts w:asciiTheme="majorBidi" w:hAnsiTheme="majorBidi" w:cstheme="majorBidi"/>
        </w:rPr>
        <w:t xml:space="preserve"> </w:t>
      </w:r>
      <w:r w:rsidRPr="00C61E39">
        <w:rPr>
          <w:rFonts w:asciiTheme="majorBidi" w:hAnsiTheme="majorBidi" w:cstheme="majorBidi"/>
          <w:sz w:val="24"/>
          <w:szCs w:val="28"/>
          <w:vertAlign w:val="superscript"/>
        </w:rPr>
        <w:t>*</w:t>
      </w:r>
      <w:r w:rsidRPr="00C61E39">
        <w:rPr>
          <w:rFonts w:asciiTheme="majorBidi" w:hAnsiTheme="majorBidi" w:cstheme="majorBidi"/>
          <w:vertAlign w:val="superscript"/>
        </w:rPr>
        <w:t>, 2, †</w:t>
      </w:r>
      <w:r w:rsidRPr="00C61E39">
        <w:rPr>
          <w:rFonts w:asciiTheme="majorBidi" w:hAnsiTheme="majorBidi" w:cstheme="majorBidi"/>
        </w:rPr>
        <w:t xml:space="preserve">, Abdollah Allahverdi </w:t>
      </w:r>
      <w:r w:rsidRPr="00C61E39">
        <w:rPr>
          <w:rFonts w:asciiTheme="majorBidi" w:hAnsiTheme="majorBidi" w:cstheme="majorBidi"/>
          <w:vertAlign w:val="superscript"/>
        </w:rPr>
        <w:t>3</w:t>
      </w:r>
      <w:r w:rsidRPr="00C61E39">
        <w:rPr>
          <w:rFonts w:asciiTheme="majorBidi" w:hAnsiTheme="majorBidi" w:cstheme="majorBidi"/>
        </w:rPr>
        <w:t xml:space="preserve">, Mario Rothbauer </w:t>
      </w:r>
      <w:r w:rsidRPr="00C61E39">
        <w:rPr>
          <w:rFonts w:asciiTheme="majorBidi" w:hAnsiTheme="majorBidi" w:cstheme="majorBidi"/>
          <w:vertAlign w:val="superscript"/>
        </w:rPr>
        <w:t>4, 5</w:t>
      </w:r>
      <w:r w:rsidRPr="00C61E39">
        <w:rPr>
          <w:rFonts w:asciiTheme="majorBidi" w:hAnsiTheme="majorBidi" w:cstheme="majorBidi"/>
        </w:rPr>
        <w:t xml:space="preserve">, Peter Ertl </w:t>
      </w:r>
      <w:r w:rsidRPr="00C61E39">
        <w:rPr>
          <w:rFonts w:asciiTheme="majorBidi" w:hAnsiTheme="majorBidi" w:cstheme="majorBidi"/>
          <w:sz w:val="24"/>
          <w:szCs w:val="28"/>
          <w:vertAlign w:val="superscript"/>
        </w:rPr>
        <w:t>*</w:t>
      </w:r>
      <w:r w:rsidRPr="00C61E39">
        <w:rPr>
          <w:rFonts w:asciiTheme="majorBidi" w:hAnsiTheme="majorBidi" w:cstheme="majorBidi"/>
          <w:vertAlign w:val="superscript"/>
        </w:rPr>
        <w:t>, 5</w:t>
      </w:r>
      <w:r w:rsidRPr="00C61E39">
        <w:rPr>
          <w:rFonts w:asciiTheme="majorBidi" w:hAnsiTheme="majorBidi" w:cstheme="majorBidi"/>
        </w:rPr>
        <w:t xml:space="preserve">, Hossein Naderi-Manesh </w:t>
      </w:r>
      <w:r w:rsidRPr="00C61E39">
        <w:rPr>
          <w:rFonts w:asciiTheme="majorBidi" w:hAnsiTheme="majorBidi" w:cstheme="majorBidi"/>
          <w:sz w:val="24"/>
          <w:szCs w:val="28"/>
          <w:vertAlign w:val="superscript"/>
        </w:rPr>
        <w:t>*</w:t>
      </w:r>
      <w:r w:rsidRPr="00C61E39">
        <w:rPr>
          <w:rFonts w:asciiTheme="majorBidi" w:hAnsiTheme="majorBidi" w:cstheme="majorBidi"/>
          <w:vertAlign w:val="superscript"/>
        </w:rPr>
        <w:t>, 1, 3</w:t>
      </w:r>
    </w:p>
    <w:p w14:paraId="038BB1BA" w14:textId="77777777" w:rsidR="009D0FA8" w:rsidRPr="00C61E39" w:rsidRDefault="009D0FA8" w:rsidP="009D0FA8">
      <w:pPr>
        <w:pStyle w:val="MDPI16affiliation"/>
        <w:spacing w:before="120" w:after="120" w:line="240" w:lineRule="auto"/>
        <w:rPr>
          <w:rFonts w:asciiTheme="majorBidi" w:hAnsiTheme="majorBidi" w:cstheme="majorBidi"/>
        </w:rPr>
      </w:pPr>
      <w:r w:rsidRPr="00C61E39">
        <w:rPr>
          <w:rFonts w:asciiTheme="majorBidi" w:hAnsiTheme="majorBidi" w:cstheme="majorBidi"/>
          <w:vertAlign w:val="superscript"/>
        </w:rPr>
        <w:t>1</w:t>
      </w:r>
      <w:r w:rsidRPr="00C61E39">
        <w:rPr>
          <w:rFonts w:asciiTheme="majorBidi" w:hAnsiTheme="majorBidi" w:cstheme="majorBidi"/>
        </w:rPr>
        <w:tab/>
        <w:t xml:space="preserve">Nanobiotechnology Department, Faculty of Biosciences, </w:t>
      </w:r>
      <w:proofErr w:type="spellStart"/>
      <w:r w:rsidRPr="00C61E39">
        <w:rPr>
          <w:rFonts w:asciiTheme="majorBidi" w:hAnsiTheme="majorBidi" w:cstheme="majorBidi"/>
        </w:rPr>
        <w:t>Tarbiat</w:t>
      </w:r>
      <w:proofErr w:type="spellEnd"/>
      <w:r w:rsidRPr="00C61E39">
        <w:rPr>
          <w:rFonts w:asciiTheme="majorBidi" w:hAnsiTheme="majorBidi" w:cstheme="majorBidi"/>
        </w:rPr>
        <w:t xml:space="preserve"> </w:t>
      </w:r>
      <w:proofErr w:type="spellStart"/>
      <w:r w:rsidRPr="00C61E39">
        <w:rPr>
          <w:rFonts w:asciiTheme="majorBidi" w:hAnsiTheme="majorBidi" w:cstheme="majorBidi"/>
        </w:rPr>
        <w:t>Modares</w:t>
      </w:r>
      <w:proofErr w:type="spellEnd"/>
      <w:r w:rsidRPr="00C61E39">
        <w:rPr>
          <w:rFonts w:asciiTheme="majorBidi" w:hAnsiTheme="majorBidi" w:cstheme="majorBidi"/>
        </w:rPr>
        <w:t xml:space="preserve"> University, Tehran, Iran </w:t>
      </w:r>
    </w:p>
    <w:p w14:paraId="212DD183" w14:textId="77777777" w:rsidR="009D0FA8" w:rsidRPr="00DD66BF" w:rsidRDefault="009D0FA8" w:rsidP="009D0FA8">
      <w:pPr>
        <w:pStyle w:val="MDPI16affiliation"/>
        <w:spacing w:before="120" w:after="120" w:line="240" w:lineRule="auto"/>
        <w:rPr>
          <w:rFonts w:asciiTheme="majorBidi" w:hAnsiTheme="majorBidi" w:cstheme="majorBidi"/>
        </w:rPr>
      </w:pPr>
      <w:r w:rsidRPr="00C61E39">
        <w:rPr>
          <w:rFonts w:asciiTheme="majorBidi" w:hAnsiTheme="majorBidi" w:cstheme="majorBidi"/>
          <w:szCs w:val="20"/>
          <w:vertAlign w:val="superscript"/>
        </w:rPr>
        <w:t>2</w:t>
      </w:r>
      <w:r w:rsidRPr="00C61E39">
        <w:rPr>
          <w:rFonts w:asciiTheme="majorBidi" w:hAnsiTheme="majorBidi" w:cstheme="majorBidi"/>
          <w:szCs w:val="20"/>
        </w:rPr>
        <w:tab/>
      </w:r>
      <w:r w:rsidRPr="005F0E7D">
        <w:rPr>
          <w:rFonts w:asciiTheme="majorBidi" w:hAnsiTheme="majorBidi" w:cstheme="majorBidi"/>
          <w:shd w:val="clear" w:color="auto" w:fill="FFFFFF"/>
        </w:rPr>
        <w:t>Biomedical Engineering Group, </w:t>
      </w:r>
      <w:r w:rsidRPr="005F0E7D">
        <w:rPr>
          <w:rFonts w:asciiTheme="majorBidi" w:hAnsiTheme="majorBidi" w:cstheme="majorBidi"/>
          <w:color w:val="222222"/>
          <w:shd w:val="clear" w:color="auto" w:fill="FFFFFF"/>
        </w:rPr>
        <w:t>Department of Electrical Engineering and Information Technology, Iranian Research Organization for Science and Technology (IROST), P.O. Box 33535111, Tehran, Iran</w:t>
      </w:r>
      <w:r w:rsidRPr="005F0E7D" w:rsidDel="00DD66BF">
        <w:rPr>
          <w:rFonts w:asciiTheme="majorBidi" w:hAnsiTheme="majorBidi" w:cstheme="majorBidi"/>
        </w:rPr>
        <w:t xml:space="preserve"> </w:t>
      </w:r>
      <w:hyperlink r:id="rId8" w:history="1"/>
    </w:p>
    <w:p w14:paraId="75CB571E" w14:textId="77777777" w:rsidR="009D0FA8" w:rsidRDefault="009D0FA8" w:rsidP="009D0FA8">
      <w:pPr>
        <w:pStyle w:val="MDPI16affiliation"/>
        <w:spacing w:before="120" w:after="120" w:line="240" w:lineRule="auto"/>
        <w:rPr>
          <w:rFonts w:asciiTheme="majorBidi" w:hAnsiTheme="majorBidi" w:cstheme="majorBidi"/>
        </w:rPr>
      </w:pPr>
      <w:r w:rsidRPr="00C61E39">
        <w:rPr>
          <w:rFonts w:asciiTheme="majorBidi" w:hAnsiTheme="majorBidi" w:cstheme="majorBidi"/>
          <w:szCs w:val="20"/>
          <w:vertAlign w:val="superscript"/>
        </w:rPr>
        <w:t>3</w:t>
      </w:r>
      <w:r w:rsidRPr="00C61E39">
        <w:rPr>
          <w:rFonts w:asciiTheme="majorBidi" w:hAnsiTheme="majorBidi" w:cstheme="majorBidi"/>
          <w:szCs w:val="20"/>
        </w:rPr>
        <w:tab/>
        <w:t xml:space="preserve">Biophysics department, Faculty of Biosciences, </w:t>
      </w:r>
      <w:proofErr w:type="spellStart"/>
      <w:r w:rsidRPr="00C61E39">
        <w:rPr>
          <w:rFonts w:asciiTheme="majorBidi" w:hAnsiTheme="majorBidi" w:cstheme="majorBidi"/>
          <w:szCs w:val="20"/>
        </w:rPr>
        <w:t>Tarbiat</w:t>
      </w:r>
      <w:proofErr w:type="spellEnd"/>
      <w:r w:rsidRPr="00C61E39">
        <w:rPr>
          <w:rFonts w:asciiTheme="majorBidi" w:hAnsiTheme="majorBidi" w:cstheme="majorBidi"/>
          <w:szCs w:val="20"/>
        </w:rPr>
        <w:t xml:space="preserve"> </w:t>
      </w:r>
      <w:proofErr w:type="spellStart"/>
      <w:r w:rsidRPr="00C61E39">
        <w:rPr>
          <w:rFonts w:asciiTheme="majorBidi" w:hAnsiTheme="majorBidi" w:cstheme="majorBidi"/>
          <w:szCs w:val="20"/>
        </w:rPr>
        <w:t>Modares</w:t>
      </w:r>
      <w:proofErr w:type="spellEnd"/>
      <w:r w:rsidRPr="00C61E39">
        <w:rPr>
          <w:rFonts w:asciiTheme="majorBidi" w:hAnsiTheme="majorBidi" w:cstheme="majorBidi"/>
          <w:szCs w:val="20"/>
        </w:rPr>
        <w:t xml:space="preserve"> University, Tehran, Iran </w:t>
      </w:r>
    </w:p>
    <w:p w14:paraId="14DA1383" w14:textId="77777777" w:rsidR="009D0FA8" w:rsidRPr="00C61E39" w:rsidRDefault="009D0FA8" w:rsidP="009D0FA8">
      <w:pPr>
        <w:pStyle w:val="MDPI16affiliation"/>
        <w:spacing w:before="120" w:after="120" w:line="240" w:lineRule="auto"/>
        <w:rPr>
          <w:rFonts w:asciiTheme="majorBidi" w:hAnsiTheme="majorBidi" w:cstheme="majorBidi"/>
        </w:rPr>
      </w:pPr>
      <w:r w:rsidRPr="00C61E39">
        <w:rPr>
          <w:rFonts w:asciiTheme="majorBidi" w:hAnsiTheme="majorBidi" w:cstheme="majorBidi"/>
          <w:szCs w:val="20"/>
          <w:vertAlign w:val="superscript"/>
        </w:rPr>
        <w:t>4</w:t>
      </w:r>
      <w:r w:rsidRPr="00C61E39">
        <w:rPr>
          <w:rFonts w:asciiTheme="majorBidi" w:hAnsiTheme="majorBidi" w:cstheme="majorBidi"/>
          <w:szCs w:val="20"/>
        </w:rPr>
        <w:tab/>
        <w:t xml:space="preserve">Karl Chiari Lab for </w:t>
      </w:r>
      <w:proofErr w:type="spellStart"/>
      <w:r w:rsidRPr="00C61E39">
        <w:rPr>
          <w:rFonts w:asciiTheme="majorBidi" w:hAnsiTheme="majorBidi" w:cstheme="majorBidi"/>
          <w:szCs w:val="20"/>
        </w:rPr>
        <w:t>Orthopaedic</w:t>
      </w:r>
      <w:proofErr w:type="spellEnd"/>
      <w:r w:rsidRPr="00C61E39">
        <w:rPr>
          <w:rFonts w:asciiTheme="majorBidi" w:hAnsiTheme="majorBidi" w:cstheme="majorBidi"/>
          <w:szCs w:val="20"/>
        </w:rPr>
        <w:t xml:space="preserve"> Biology, Department of Orthopedics and Trauma Surgery, Medical University of Vienna, </w:t>
      </w:r>
      <w:proofErr w:type="spellStart"/>
      <w:r w:rsidRPr="00C61E39">
        <w:rPr>
          <w:rFonts w:asciiTheme="majorBidi" w:hAnsiTheme="majorBidi" w:cstheme="majorBidi"/>
          <w:szCs w:val="20"/>
        </w:rPr>
        <w:t>Währinger</w:t>
      </w:r>
      <w:proofErr w:type="spellEnd"/>
      <w:r w:rsidRPr="00C61E39">
        <w:rPr>
          <w:rFonts w:asciiTheme="majorBidi" w:hAnsiTheme="majorBidi" w:cstheme="majorBidi"/>
          <w:szCs w:val="20"/>
        </w:rPr>
        <w:t xml:space="preserve"> </w:t>
      </w:r>
      <w:proofErr w:type="spellStart"/>
      <w:r w:rsidRPr="00C61E39">
        <w:rPr>
          <w:rFonts w:asciiTheme="majorBidi" w:hAnsiTheme="majorBidi" w:cstheme="majorBidi"/>
          <w:szCs w:val="20"/>
        </w:rPr>
        <w:t>Gürtel</w:t>
      </w:r>
      <w:proofErr w:type="spellEnd"/>
      <w:r w:rsidRPr="00C61E39">
        <w:rPr>
          <w:rFonts w:asciiTheme="majorBidi" w:hAnsiTheme="majorBidi" w:cstheme="majorBidi"/>
          <w:szCs w:val="20"/>
        </w:rPr>
        <w:t xml:space="preserve"> 18-22, 1090 Vienna, Austria</w:t>
      </w:r>
    </w:p>
    <w:p w14:paraId="0D2B3494" w14:textId="77777777" w:rsidR="009D0FA8" w:rsidRDefault="009D0FA8" w:rsidP="009D0FA8">
      <w:pPr>
        <w:pStyle w:val="MDPI16affiliation"/>
        <w:spacing w:before="120" w:after="120" w:line="240" w:lineRule="auto"/>
        <w:rPr>
          <w:rFonts w:asciiTheme="majorBidi" w:hAnsiTheme="majorBidi" w:cstheme="majorBidi"/>
          <w:szCs w:val="20"/>
        </w:rPr>
      </w:pPr>
      <w:r w:rsidRPr="00C61E39">
        <w:rPr>
          <w:rFonts w:asciiTheme="majorBidi" w:hAnsiTheme="majorBidi" w:cstheme="majorBidi"/>
          <w:szCs w:val="20"/>
          <w:vertAlign w:val="superscript"/>
        </w:rPr>
        <w:t>5</w:t>
      </w:r>
      <w:r w:rsidRPr="00C61E39">
        <w:rPr>
          <w:rFonts w:asciiTheme="majorBidi" w:hAnsiTheme="majorBidi" w:cstheme="majorBidi"/>
          <w:szCs w:val="20"/>
        </w:rPr>
        <w:tab/>
        <w:t xml:space="preserve">Institute of Applied Synthetic Chemistry and Institute of Chemical Technologies and Analytics, Faculty of Technical Chemistry, Vienna University of Technology, </w:t>
      </w:r>
      <w:proofErr w:type="spellStart"/>
      <w:r w:rsidRPr="00C61E39">
        <w:rPr>
          <w:rFonts w:asciiTheme="majorBidi" w:hAnsiTheme="majorBidi" w:cstheme="majorBidi"/>
          <w:szCs w:val="20"/>
        </w:rPr>
        <w:t>Getreidemarkt</w:t>
      </w:r>
      <w:proofErr w:type="spellEnd"/>
      <w:r w:rsidRPr="00C61E39">
        <w:rPr>
          <w:rFonts w:asciiTheme="majorBidi" w:hAnsiTheme="majorBidi" w:cstheme="majorBidi"/>
          <w:szCs w:val="20"/>
        </w:rPr>
        <w:t xml:space="preserve"> 9/163-164, 1060 Vienna, Austria</w:t>
      </w:r>
    </w:p>
    <w:p w14:paraId="4D8CB6C8" w14:textId="77777777" w:rsidR="009D0FA8" w:rsidRPr="00C61E39" w:rsidRDefault="009D0FA8" w:rsidP="009D0FA8">
      <w:pPr>
        <w:pStyle w:val="MDPI16affiliation"/>
        <w:spacing w:before="120" w:after="120" w:line="240" w:lineRule="auto"/>
        <w:rPr>
          <w:rFonts w:asciiTheme="majorBidi" w:hAnsiTheme="majorBidi" w:cstheme="majorBidi"/>
        </w:rPr>
      </w:pPr>
      <w:r w:rsidRPr="00C61E39">
        <w:rPr>
          <w:rFonts w:asciiTheme="majorBidi" w:hAnsiTheme="majorBidi" w:cstheme="majorBidi"/>
          <w:b/>
        </w:rPr>
        <w:t>*</w:t>
      </w:r>
      <w:r w:rsidRPr="00C61E39">
        <w:rPr>
          <w:rFonts w:asciiTheme="majorBidi" w:hAnsiTheme="majorBidi" w:cstheme="majorBidi"/>
        </w:rPr>
        <w:tab/>
        <w:t xml:space="preserve">Correspondence: </w:t>
      </w:r>
      <w:hyperlink r:id="rId9" w:history="1">
        <w:r w:rsidRPr="00E460AF">
          <w:rPr>
            <w:rStyle w:val="Hyperlink"/>
            <w:rFonts w:asciiTheme="majorBidi" w:eastAsiaTheme="majorEastAsia" w:hAnsiTheme="majorBidi"/>
          </w:rPr>
          <w:t>s.shojaie@irost.ir</w:t>
        </w:r>
      </w:hyperlink>
      <w:r w:rsidRPr="00C61E39">
        <w:rPr>
          <w:rFonts w:asciiTheme="majorBidi" w:hAnsiTheme="majorBidi" w:cstheme="majorBidi"/>
        </w:rPr>
        <w:t xml:space="preserve"> </w:t>
      </w:r>
      <w:r w:rsidRPr="00C61E39">
        <w:rPr>
          <w:rFonts w:asciiTheme="majorBidi" w:hAnsiTheme="majorBidi" w:cstheme="majorBidi"/>
          <w:szCs w:val="20"/>
        </w:rPr>
        <w:t>(</w:t>
      </w:r>
      <w:proofErr w:type="spellStart"/>
      <w:r w:rsidRPr="00C61E39">
        <w:rPr>
          <w:rFonts w:asciiTheme="majorBidi" w:hAnsiTheme="majorBidi" w:cstheme="majorBidi"/>
        </w:rPr>
        <w:t>S.Sh</w:t>
      </w:r>
      <w:proofErr w:type="spellEnd"/>
      <w:r>
        <w:rPr>
          <w:rFonts w:asciiTheme="majorBidi" w:hAnsiTheme="majorBidi" w:cstheme="majorBidi"/>
        </w:rPr>
        <w:t>.</w:t>
      </w:r>
      <w:r w:rsidRPr="00C61E39">
        <w:rPr>
          <w:rFonts w:asciiTheme="majorBidi" w:hAnsiTheme="majorBidi" w:cstheme="majorBidi"/>
        </w:rPr>
        <w:t xml:space="preserve">); </w:t>
      </w:r>
      <w:hyperlink r:id="rId10" w:history="1">
        <w:r w:rsidRPr="00C61E39">
          <w:rPr>
            <w:rFonts w:asciiTheme="majorBidi" w:hAnsiTheme="majorBidi" w:cstheme="majorBidi"/>
          </w:rPr>
          <w:t>Naderman@modares.ac.ir</w:t>
        </w:r>
      </w:hyperlink>
      <w:r w:rsidRPr="00C61E39">
        <w:rPr>
          <w:rFonts w:asciiTheme="majorBidi" w:hAnsiTheme="majorBidi" w:cstheme="majorBidi"/>
        </w:rPr>
        <w:t xml:space="preserve"> (</w:t>
      </w:r>
      <w:proofErr w:type="gramStart"/>
      <w:r w:rsidRPr="00C61E39">
        <w:rPr>
          <w:rFonts w:asciiTheme="majorBidi" w:hAnsiTheme="majorBidi" w:cstheme="majorBidi"/>
        </w:rPr>
        <w:t>H.N</w:t>
      </w:r>
      <w:proofErr w:type="gramEnd"/>
      <w:r w:rsidRPr="00C61E39">
        <w:rPr>
          <w:rFonts w:asciiTheme="majorBidi" w:hAnsiTheme="majorBidi" w:cstheme="majorBidi"/>
        </w:rPr>
        <w:t xml:space="preserve">-M.); </w:t>
      </w:r>
      <w:proofErr w:type="spellStart"/>
      <w:r w:rsidRPr="00C61E39">
        <w:rPr>
          <w:rFonts w:asciiTheme="majorBidi" w:hAnsiTheme="majorBidi" w:cstheme="majorBidi"/>
        </w:rPr>
        <w:t>Peter.ertl</w:t>
      </w:r>
      <w:proofErr w:type="spellEnd"/>
      <w:r w:rsidRPr="00C61E39">
        <w:rPr>
          <w:rFonts w:asciiTheme="majorBidi" w:hAnsiTheme="majorBidi" w:cstheme="majorBidi"/>
        </w:rPr>
        <w:t>@ tuwien.ac.at (P.E.)</w:t>
      </w:r>
    </w:p>
    <w:p w14:paraId="2A4CE628" w14:textId="77777777" w:rsidR="009D0FA8" w:rsidRPr="00C61E39" w:rsidRDefault="009D0FA8" w:rsidP="009D0FA8">
      <w:pPr>
        <w:pStyle w:val="MDPI16affiliation"/>
        <w:spacing w:before="120" w:after="120" w:line="240" w:lineRule="auto"/>
        <w:rPr>
          <w:rFonts w:asciiTheme="majorBidi" w:hAnsiTheme="majorBidi" w:cstheme="majorBidi"/>
        </w:rPr>
      </w:pPr>
      <w:r w:rsidRPr="00C61E39">
        <w:rPr>
          <w:rFonts w:asciiTheme="majorBidi" w:hAnsiTheme="majorBidi" w:cstheme="majorBidi"/>
        </w:rPr>
        <w:t>†</w:t>
      </w:r>
      <w:r w:rsidRPr="00C61E39">
        <w:rPr>
          <w:rFonts w:asciiTheme="majorBidi" w:hAnsiTheme="majorBidi" w:cstheme="majorBidi"/>
        </w:rPr>
        <w:tab/>
        <w:t>These authors contributed equally to this work.</w:t>
      </w:r>
    </w:p>
    <w:p w14:paraId="4C928AEA" w14:textId="77777777" w:rsidR="003B3A11" w:rsidRDefault="003B3A11"/>
    <w:p w14:paraId="337D9DB1" w14:textId="199D065E" w:rsidR="002424CA" w:rsidRDefault="002424CA" w:rsidP="002424CA">
      <w:pPr>
        <w:pStyle w:val="Heading1"/>
        <w:numPr>
          <w:ilvl w:val="0"/>
          <w:numId w:val="1"/>
        </w:numPr>
        <w:rPr>
          <w:rFonts w:asciiTheme="majorBidi" w:hAnsiTheme="majorBidi"/>
          <w:color w:val="auto"/>
        </w:rPr>
      </w:pPr>
      <w:r w:rsidRPr="008A12E8">
        <w:rPr>
          <w:rFonts w:asciiTheme="majorBidi" w:hAnsiTheme="majorBidi"/>
          <w:color w:val="auto"/>
        </w:rPr>
        <w:t xml:space="preserve">Supplementary </w:t>
      </w:r>
      <w:r>
        <w:rPr>
          <w:rFonts w:asciiTheme="majorBidi" w:hAnsiTheme="majorBidi"/>
          <w:color w:val="auto"/>
        </w:rPr>
        <w:t>Method</w:t>
      </w:r>
    </w:p>
    <w:p w14:paraId="601DD5C7" w14:textId="77777777" w:rsidR="00381FE6" w:rsidRPr="00381FE6" w:rsidRDefault="00381FE6" w:rsidP="00381FE6">
      <w:pPr>
        <w:jc w:val="both"/>
        <w:rPr>
          <w:rFonts w:asciiTheme="majorBidi" w:hAnsiTheme="majorBidi" w:cstheme="majorBidi"/>
        </w:rPr>
      </w:pPr>
      <w:r w:rsidRPr="00381FE6">
        <w:rPr>
          <w:rFonts w:asciiTheme="majorBidi" w:hAnsiTheme="majorBidi" w:cstheme="majorBidi"/>
        </w:rPr>
        <w:t>The primary steps of the data processing pipeline are illustrated in Figure S1.​ Given that the raw images are substantial in size, approximately 10,000 x 10,000 pixels, we partitioned the images into smaller patches to reduce the computational load for subsequent processing. Furthermore, to further decrease the computational cost associated with model training, we converted the patches from RGB to grayscale. Subsequently, we applied transfer learning techniques using five different pre-trained models and ultimately conducted evaluations of the models.</w:t>
      </w:r>
    </w:p>
    <w:p w14:paraId="394E9170" w14:textId="77777777" w:rsidR="00381FE6" w:rsidRDefault="00381FE6" w:rsidP="003751B9"/>
    <w:p w14:paraId="27BE10AD" w14:textId="739F1752" w:rsidR="003751B9" w:rsidRPr="003751B9" w:rsidRDefault="003751B9" w:rsidP="003751B9">
      <w:r>
        <w:rPr>
          <w:noProof/>
        </w:rPr>
        <w:lastRenderedPageBreak/>
        <w:drawing>
          <wp:inline distT="0" distB="0" distL="0" distR="0" wp14:anchorId="7EB08FE1" wp14:editId="663AB6BD">
            <wp:extent cx="5345862" cy="3577637"/>
            <wp:effectExtent l="0" t="0" r="7620" b="3810"/>
            <wp:docPr id="4846675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47811" cy="3578941"/>
                    </a:xfrm>
                    <a:prstGeom prst="rect">
                      <a:avLst/>
                    </a:prstGeom>
                    <a:noFill/>
                  </pic:spPr>
                </pic:pic>
              </a:graphicData>
            </a:graphic>
          </wp:inline>
        </w:drawing>
      </w:r>
    </w:p>
    <w:p w14:paraId="04D8A4C9" w14:textId="32DD077C" w:rsidR="003751B9" w:rsidRPr="003751B9" w:rsidRDefault="003751B9" w:rsidP="003751B9">
      <w:pPr>
        <w:pStyle w:val="Caption"/>
        <w:jc w:val="center"/>
        <w:rPr>
          <w:color w:val="auto"/>
        </w:rPr>
      </w:pPr>
      <w:r w:rsidRPr="003751B9">
        <w:rPr>
          <w:color w:val="auto"/>
        </w:rPr>
        <w:t xml:space="preserve">Figure </w:t>
      </w:r>
      <w:r>
        <w:rPr>
          <w:color w:val="auto"/>
        </w:rPr>
        <w:t>S</w:t>
      </w:r>
      <w:r w:rsidRPr="003751B9">
        <w:rPr>
          <w:color w:val="auto"/>
        </w:rPr>
        <w:fldChar w:fldCharType="begin"/>
      </w:r>
      <w:r w:rsidRPr="003751B9">
        <w:rPr>
          <w:color w:val="auto"/>
        </w:rPr>
        <w:instrText xml:space="preserve"> SEQ Figure \* ARABIC </w:instrText>
      </w:r>
      <w:r w:rsidRPr="003751B9">
        <w:rPr>
          <w:color w:val="auto"/>
        </w:rPr>
        <w:fldChar w:fldCharType="separate"/>
      </w:r>
      <w:r w:rsidRPr="003751B9">
        <w:rPr>
          <w:noProof/>
          <w:color w:val="auto"/>
        </w:rPr>
        <w:t>1</w:t>
      </w:r>
      <w:r w:rsidRPr="003751B9">
        <w:rPr>
          <w:color w:val="auto"/>
        </w:rPr>
        <w:fldChar w:fldCharType="end"/>
      </w:r>
      <w:r w:rsidRPr="003751B9">
        <w:rPr>
          <w:color w:val="auto"/>
        </w:rPr>
        <w:t>: Main steps of the data processing</w:t>
      </w:r>
    </w:p>
    <w:p w14:paraId="228A4056" w14:textId="387F7193" w:rsidR="008A12E8" w:rsidRPr="008A12E8" w:rsidRDefault="008A12E8" w:rsidP="008A12E8">
      <w:pPr>
        <w:pStyle w:val="Heading1"/>
        <w:numPr>
          <w:ilvl w:val="0"/>
          <w:numId w:val="1"/>
        </w:numPr>
        <w:rPr>
          <w:rFonts w:asciiTheme="majorBidi" w:hAnsiTheme="majorBidi"/>
          <w:color w:val="auto"/>
        </w:rPr>
      </w:pPr>
      <w:r w:rsidRPr="008A12E8">
        <w:rPr>
          <w:rFonts w:asciiTheme="majorBidi" w:hAnsiTheme="majorBidi"/>
          <w:color w:val="auto"/>
        </w:rPr>
        <w:t>Supplementary experimental setup</w:t>
      </w:r>
    </w:p>
    <w:p w14:paraId="7C0042A8" w14:textId="5DF18123" w:rsidR="008A12E8" w:rsidRPr="001C6805" w:rsidRDefault="008A12E8" w:rsidP="008A12E8">
      <w:pPr>
        <w:jc w:val="both"/>
        <w:rPr>
          <w:rFonts w:asciiTheme="majorBidi" w:hAnsiTheme="majorBidi" w:cstheme="majorBidi"/>
          <w:b/>
          <w:bCs/>
        </w:rPr>
      </w:pPr>
      <w:r w:rsidRPr="001C6805">
        <w:rPr>
          <w:rFonts w:asciiTheme="majorBidi" w:hAnsiTheme="majorBidi" w:cstheme="majorBidi"/>
          <w:b/>
          <w:bCs/>
        </w:rPr>
        <w:t>Strateg</w:t>
      </w:r>
      <w:r>
        <w:rPr>
          <w:rFonts w:asciiTheme="majorBidi" w:hAnsiTheme="majorBidi" w:cstheme="majorBidi"/>
          <w:b/>
          <w:bCs/>
        </w:rPr>
        <w:t>y</w:t>
      </w:r>
      <w:r w:rsidRPr="001C6805">
        <w:rPr>
          <w:rFonts w:asciiTheme="majorBidi" w:hAnsiTheme="majorBidi" w:cstheme="majorBidi"/>
          <w:b/>
          <w:bCs/>
        </w:rPr>
        <w:t xml:space="preserve"> to Address Class Imbalance</w:t>
      </w:r>
    </w:p>
    <w:p w14:paraId="310A21C4" w14:textId="675AED48" w:rsidR="008A12E8" w:rsidRPr="001C6805" w:rsidRDefault="008A12E8" w:rsidP="008A12E8">
      <w:pPr>
        <w:jc w:val="both"/>
        <w:rPr>
          <w:rFonts w:asciiTheme="majorBidi" w:hAnsiTheme="majorBidi" w:cstheme="majorBidi"/>
        </w:rPr>
      </w:pPr>
      <w:r w:rsidRPr="001C6805">
        <w:rPr>
          <w:rFonts w:asciiTheme="majorBidi" w:hAnsiTheme="majorBidi" w:cstheme="majorBidi"/>
        </w:rPr>
        <w:t xml:space="preserve">In machine learning, class imbalance occurs when the distribution of classes in the dataset is unbalance, leading to poor model performance on underrepresented classes. This problem is common in various fields, such as fraud detection, medical diagnoses, and anomaly detection. </w:t>
      </w:r>
      <w:r w:rsidR="003E346A" w:rsidRPr="001C6805">
        <w:rPr>
          <w:rFonts w:asciiTheme="majorBidi" w:hAnsiTheme="majorBidi" w:cstheme="majorBidi"/>
        </w:rPr>
        <w:t xml:space="preserve">As explained in the paper to handle the problem of class imbalance data, we employed the augmentation strategy (including scaling, rotation, and translation) to equalize the sample distribution across the 6 classes. </w:t>
      </w:r>
      <w:r w:rsidR="002424CA">
        <w:rPr>
          <w:rFonts w:asciiTheme="majorBidi" w:hAnsiTheme="majorBidi" w:cstheme="majorBidi"/>
        </w:rPr>
        <w:t>Our</w:t>
      </w:r>
      <w:r w:rsidRPr="001C6805">
        <w:rPr>
          <w:rFonts w:asciiTheme="majorBidi" w:hAnsiTheme="majorBidi" w:cstheme="majorBidi"/>
        </w:rPr>
        <w:t xml:space="preserve"> strategy to tackle class imbalance involves two critical steps: first, oversampling the minority class with randomized replacement and, subsequently, augmenting the training samples. This part outlines these strategies, their implications, and their effectiveness in enhancing model performance.</w:t>
      </w:r>
    </w:p>
    <w:p w14:paraId="6CBE240F" w14:textId="77777777" w:rsidR="008A12E8" w:rsidRPr="001C6805" w:rsidRDefault="008A12E8" w:rsidP="008A12E8">
      <w:pPr>
        <w:jc w:val="both"/>
        <w:rPr>
          <w:rFonts w:asciiTheme="majorBidi" w:hAnsiTheme="majorBidi" w:cstheme="majorBidi"/>
          <w:b/>
          <w:bCs/>
        </w:rPr>
      </w:pPr>
      <w:r w:rsidRPr="001C6805">
        <w:rPr>
          <w:rFonts w:asciiTheme="majorBidi" w:hAnsiTheme="majorBidi" w:cstheme="majorBidi"/>
          <w:b/>
          <w:bCs/>
        </w:rPr>
        <w:t>Oversampling the Minority Class with Randomized Replacement</w:t>
      </w:r>
    </w:p>
    <w:p w14:paraId="557A34B5" w14:textId="77777777" w:rsidR="008A12E8" w:rsidRPr="001C6805" w:rsidRDefault="008A12E8" w:rsidP="008A12E8">
      <w:pPr>
        <w:jc w:val="both"/>
        <w:rPr>
          <w:rFonts w:asciiTheme="majorBidi" w:hAnsiTheme="majorBidi" w:cstheme="majorBidi"/>
        </w:rPr>
      </w:pPr>
      <w:r w:rsidRPr="001C6805">
        <w:rPr>
          <w:rFonts w:asciiTheme="majorBidi" w:hAnsiTheme="majorBidi" w:cstheme="majorBidi"/>
        </w:rPr>
        <w:t>The initial step in addressing class imbalance involves oversampling the minority class. Oversampling aims to increase the number of instances in the minority class to match or approach the sample size of the majority class. Randomized replacement is a flexibility-driven method where existing samples from the minority class are selected at random, with the possibility of duplication, to create a larger, more balanced dataset. This technique is particularly advantageous as it allows the model to learn more about the minority class's characteristics without needing to acquire additional data.</w:t>
      </w:r>
    </w:p>
    <w:p w14:paraId="4C44D4E7" w14:textId="77777777" w:rsidR="008A12E8" w:rsidRPr="001C6805" w:rsidRDefault="008A12E8" w:rsidP="008A12E8">
      <w:pPr>
        <w:jc w:val="both"/>
        <w:rPr>
          <w:rFonts w:asciiTheme="majorBidi" w:hAnsiTheme="majorBidi" w:cstheme="majorBidi"/>
        </w:rPr>
      </w:pPr>
      <w:r w:rsidRPr="001C6805">
        <w:rPr>
          <w:rFonts w:asciiTheme="majorBidi" w:hAnsiTheme="majorBidi" w:cstheme="majorBidi"/>
        </w:rPr>
        <w:t xml:space="preserve">While oversampling can help mitigate the bias towards the majority class, it comes with potential drawbacks, particularly overfitting. Since the same minority instances can be repeated multiple times, the model may learn to overly represent these specific examples, thus failing to generalize adequately. </w:t>
      </w:r>
      <w:r w:rsidRPr="001C6805">
        <w:rPr>
          <w:rFonts w:asciiTheme="majorBidi" w:hAnsiTheme="majorBidi" w:cstheme="majorBidi"/>
        </w:rPr>
        <w:lastRenderedPageBreak/>
        <w:t>Therefore, it is crucial to follow oversampling with additional techniques to provide further diversity and robustness in the training data.</w:t>
      </w:r>
    </w:p>
    <w:p w14:paraId="07A870E5" w14:textId="77777777" w:rsidR="008A12E8" w:rsidRPr="001C6805" w:rsidRDefault="008A12E8" w:rsidP="008A12E8">
      <w:pPr>
        <w:jc w:val="both"/>
        <w:rPr>
          <w:rFonts w:asciiTheme="majorBidi" w:hAnsiTheme="majorBidi" w:cstheme="majorBidi"/>
          <w:b/>
          <w:bCs/>
        </w:rPr>
      </w:pPr>
      <w:r w:rsidRPr="001C6805">
        <w:rPr>
          <w:rFonts w:asciiTheme="majorBidi" w:hAnsiTheme="majorBidi" w:cstheme="majorBidi"/>
          <w:b/>
          <w:bCs/>
        </w:rPr>
        <w:t>Augmenting Training Samples</w:t>
      </w:r>
    </w:p>
    <w:p w14:paraId="63FFC5E6" w14:textId="77777777" w:rsidR="008A12E8" w:rsidRPr="001C6805" w:rsidRDefault="008A12E8" w:rsidP="008A12E8">
      <w:pPr>
        <w:jc w:val="both"/>
        <w:rPr>
          <w:rFonts w:asciiTheme="majorBidi" w:hAnsiTheme="majorBidi" w:cstheme="majorBidi"/>
        </w:rPr>
      </w:pPr>
      <w:r w:rsidRPr="001C6805">
        <w:rPr>
          <w:rFonts w:asciiTheme="majorBidi" w:hAnsiTheme="majorBidi" w:cstheme="majorBidi"/>
        </w:rPr>
        <w:t xml:space="preserve">Following the oversampling stage, implementing data augmentation techniques becomes essential. Data augmentation refers to the method of creating new synthetic instances through various manipulations of existing data points. For instance, in image classification tasks, augmentations can include transformations such as rotation, translation, scaling, and flipping. By applying these techniques, models can be exposed to a richer variety of scenarios and input variations, thereby reducing the risk of overfitting.  </w:t>
      </w:r>
    </w:p>
    <w:p w14:paraId="6657F80C" w14:textId="77777777" w:rsidR="008A12E8" w:rsidRPr="001C6805" w:rsidRDefault="008A12E8" w:rsidP="008A12E8">
      <w:pPr>
        <w:jc w:val="both"/>
        <w:rPr>
          <w:rFonts w:asciiTheme="majorBidi" w:hAnsiTheme="majorBidi" w:cstheme="majorBidi"/>
        </w:rPr>
      </w:pPr>
      <w:r w:rsidRPr="001C6805">
        <w:rPr>
          <w:rFonts w:asciiTheme="majorBidi" w:hAnsiTheme="majorBidi" w:cstheme="majorBidi"/>
        </w:rPr>
        <w:t>The process of augmenting the newly enlarged minority class dataset fosters the emergence of more diverse patterns and feature representations. It combats the bias inherent in the duplicated samples created during the oversampling phase. Consequently, the model gains exposure to broader perspectives of the minority class, equipping it to recognize and correctly classify these instances more effectively. Additionally, effective data augmentation not only enhances the classification of the minority class but can also improve model performance metrics, such as recall and F1-score, which are crucial in imbalanced scenarios.</w:t>
      </w:r>
    </w:p>
    <w:p w14:paraId="57D3C8FD" w14:textId="77777777" w:rsidR="008A12E8" w:rsidRPr="001C6805" w:rsidRDefault="008A12E8" w:rsidP="008A12E8">
      <w:pPr>
        <w:jc w:val="both"/>
        <w:rPr>
          <w:rFonts w:asciiTheme="majorBidi" w:hAnsiTheme="majorBidi" w:cstheme="majorBidi"/>
          <w:b/>
          <w:bCs/>
        </w:rPr>
      </w:pPr>
      <w:r w:rsidRPr="001C6805">
        <w:rPr>
          <w:rFonts w:asciiTheme="majorBidi" w:hAnsiTheme="majorBidi" w:cstheme="majorBidi"/>
          <w:b/>
          <w:bCs/>
        </w:rPr>
        <w:t>Integration of Oversampling and Augmentation</w:t>
      </w:r>
    </w:p>
    <w:p w14:paraId="72D26993" w14:textId="77777777" w:rsidR="008A12E8" w:rsidRPr="001C6805" w:rsidRDefault="008A12E8" w:rsidP="008A12E8">
      <w:pPr>
        <w:jc w:val="both"/>
        <w:rPr>
          <w:rFonts w:asciiTheme="majorBidi" w:hAnsiTheme="majorBidi" w:cstheme="majorBidi"/>
        </w:rPr>
      </w:pPr>
      <w:r w:rsidRPr="001C6805">
        <w:rPr>
          <w:rFonts w:asciiTheme="majorBidi" w:hAnsiTheme="majorBidi" w:cstheme="majorBidi"/>
        </w:rPr>
        <w:t>​When combined, the strategies of oversampling the minority class and subsequent data augmentation create a robust framework for addressing class imbalance.​ By initially increasing the training samples through oversampling, the representation of the minority class is elevated. Following this, data augmentation further diversifies these samples, providing the model with a comprehensive view of the minority class's characteristics. This integrated approach ensures that models effectively learn to distinguish between classes without being biased toward the majority, ultimately leading to better generalization and improved predictive accuracy.</w:t>
      </w:r>
    </w:p>
    <w:p w14:paraId="0D291A2D" w14:textId="1E482A91" w:rsidR="008A12E8" w:rsidRDefault="008A12E8" w:rsidP="008A12E8">
      <w:pPr>
        <w:jc w:val="both"/>
        <w:rPr>
          <w:rFonts w:asciiTheme="majorBidi" w:hAnsiTheme="majorBidi" w:cstheme="majorBidi"/>
        </w:rPr>
      </w:pPr>
      <w:r w:rsidRPr="001C6805">
        <w:rPr>
          <w:rFonts w:asciiTheme="majorBidi" w:hAnsiTheme="majorBidi" w:cstheme="majorBidi"/>
        </w:rPr>
        <w:t xml:space="preserve">Figures </w:t>
      </w:r>
      <w:r w:rsidR="003E346A">
        <w:rPr>
          <w:rFonts w:asciiTheme="majorBidi" w:hAnsiTheme="majorBidi" w:cstheme="majorBidi"/>
        </w:rPr>
        <w:t>S</w:t>
      </w:r>
      <w:r w:rsidR="003751B9">
        <w:rPr>
          <w:rFonts w:asciiTheme="majorBidi" w:hAnsiTheme="majorBidi" w:cstheme="majorBidi"/>
        </w:rPr>
        <w:t>2</w:t>
      </w:r>
      <w:r w:rsidR="003E346A">
        <w:rPr>
          <w:rFonts w:asciiTheme="majorBidi" w:hAnsiTheme="majorBidi" w:cstheme="majorBidi"/>
        </w:rPr>
        <w:t xml:space="preserve"> and S</w:t>
      </w:r>
      <w:r w:rsidR="003751B9">
        <w:rPr>
          <w:rFonts w:asciiTheme="majorBidi" w:hAnsiTheme="majorBidi" w:cstheme="majorBidi"/>
        </w:rPr>
        <w:t>3</w:t>
      </w:r>
      <w:r w:rsidRPr="001C6805">
        <w:rPr>
          <w:rFonts w:asciiTheme="majorBidi" w:hAnsiTheme="majorBidi" w:cstheme="majorBidi"/>
        </w:rPr>
        <w:t xml:space="preserve"> illustrate the distribution of classes in the training data prior to and subsequent to the oversampling process. Notably, the total number of samples has increased to 1,481 after oversampling, which corresponds to the total count of the "SK</w:t>
      </w:r>
      <w:r w:rsidR="003E346A">
        <w:rPr>
          <w:rFonts w:asciiTheme="majorBidi" w:hAnsiTheme="majorBidi" w:cstheme="majorBidi"/>
        </w:rPr>
        <w:t>-LU-1</w:t>
      </w:r>
      <w:r w:rsidRPr="001C6805">
        <w:rPr>
          <w:rFonts w:asciiTheme="majorBidi" w:hAnsiTheme="majorBidi" w:cstheme="majorBidi"/>
        </w:rPr>
        <w:t>" class.</w:t>
      </w:r>
    </w:p>
    <w:p w14:paraId="7CDDE7DE" w14:textId="77777777" w:rsidR="008A12E8" w:rsidRDefault="008A12E8" w:rsidP="008A12E8">
      <w:pPr>
        <w:jc w:val="both"/>
        <w:rPr>
          <w:rFonts w:asciiTheme="majorBidi" w:hAnsiTheme="majorBidi" w:cstheme="majorBidi"/>
        </w:rPr>
      </w:pPr>
    </w:p>
    <w:p w14:paraId="1C12F05F" w14:textId="5DEDB6D0" w:rsidR="008A12E8" w:rsidRPr="001C6805" w:rsidRDefault="00341465" w:rsidP="00CA505F">
      <w:pPr>
        <w:jc w:val="center"/>
        <w:rPr>
          <w:rFonts w:asciiTheme="majorBidi" w:hAnsiTheme="majorBidi" w:cstheme="majorBidi"/>
        </w:rPr>
      </w:pPr>
      <w:r w:rsidRPr="003C7850">
        <w:rPr>
          <w:rFonts w:asciiTheme="majorBidi" w:hAnsiTheme="majorBidi" w:cstheme="majorBidi"/>
          <w:noProof/>
        </w:rPr>
        <w:lastRenderedPageBreak/>
        <w:drawing>
          <wp:inline distT="0" distB="0" distL="0" distR="0" wp14:anchorId="038B225B" wp14:editId="5DD48094">
            <wp:extent cx="4847731" cy="3635654"/>
            <wp:effectExtent l="0" t="0" r="0" b="0"/>
            <wp:docPr id="12518423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50387" cy="3637646"/>
                    </a:xfrm>
                    <a:prstGeom prst="rect">
                      <a:avLst/>
                    </a:prstGeom>
                    <a:noFill/>
                    <a:ln>
                      <a:noFill/>
                    </a:ln>
                  </pic:spPr>
                </pic:pic>
              </a:graphicData>
            </a:graphic>
          </wp:inline>
        </w:drawing>
      </w:r>
    </w:p>
    <w:p w14:paraId="1D9C2011" w14:textId="70D3AD85" w:rsidR="008A12E8" w:rsidRPr="001C6805" w:rsidRDefault="008A12E8" w:rsidP="008A12E8">
      <w:pPr>
        <w:pStyle w:val="Caption"/>
        <w:jc w:val="center"/>
        <w:rPr>
          <w:rFonts w:cstheme="minorHAnsi"/>
          <w:color w:val="auto"/>
        </w:rPr>
      </w:pPr>
      <w:r w:rsidRPr="001C6805">
        <w:rPr>
          <w:rFonts w:cstheme="minorHAnsi"/>
          <w:color w:val="auto"/>
        </w:rPr>
        <w:t xml:space="preserve">Figure </w:t>
      </w:r>
      <w:r w:rsidR="003E346A">
        <w:rPr>
          <w:rFonts w:cstheme="minorHAnsi"/>
          <w:color w:val="auto"/>
        </w:rPr>
        <w:t>S</w:t>
      </w:r>
      <w:r w:rsidRPr="001C6805">
        <w:rPr>
          <w:rFonts w:cstheme="minorHAnsi"/>
          <w:color w:val="auto"/>
        </w:rPr>
        <w:fldChar w:fldCharType="begin"/>
      </w:r>
      <w:r w:rsidRPr="001C6805">
        <w:rPr>
          <w:rFonts w:cstheme="minorHAnsi"/>
          <w:color w:val="auto"/>
        </w:rPr>
        <w:instrText xml:space="preserve"> SEQ Figure \* ARABIC </w:instrText>
      </w:r>
      <w:r w:rsidRPr="001C6805">
        <w:rPr>
          <w:rFonts w:cstheme="minorHAnsi"/>
          <w:color w:val="auto"/>
        </w:rPr>
        <w:fldChar w:fldCharType="separate"/>
      </w:r>
      <w:r w:rsidR="003751B9">
        <w:rPr>
          <w:rFonts w:cstheme="minorHAnsi"/>
          <w:noProof/>
          <w:color w:val="auto"/>
        </w:rPr>
        <w:t>2</w:t>
      </w:r>
      <w:r w:rsidRPr="001C6805">
        <w:rPr>
          <w:rFonts w:cstheme="minorHAnsi"/>
          <w:color w:val="auto"/>
        </w:rPr>
        <w:fldChar w:fldCharType="end"/>
      </w:r>
      <w:r w:rsidRPr="001C6805">
        <w:rPr>
          <w:rFonts w:cstheme="minorHAnsi"/>
          <w:color w:val="auto"/>
        </w:rPr>
        <w:t>: Class distribution of the original training data.</w:t>
      </w:r>
    </w:p>
    <w:p w14:paraId="0986DE75" w14:textId="0814766B" w:rsidR="008A12E8" w:rsidRPr="001C6805" w:rsidRDefault="00341465" w:rsidP="00CA505F">
      <w:pPr>
        <w:jc w:val="center"/>
        <w:rPr>
          <w:rFonts w:asciiTheme="majorBidi" w:hAnsiTheme="majorBidi" w:cstheme="majorBidi"/>
        </w:rPr>
      </w:pPr>
      <w:r w:rsidRPr="003C7850">
        <w:rPr>
          <w:rFonts w:asciiTheme="majorBidi" w:hAnsiTheme="majorBidi" w:cstheme="majorBidi"/>
          <w:noProof/>
        </w:rPr>
        <w:drawing>
          <wp:inline distT="0" distB="0" distL="0" distR="0" wp14:anchorId="140FAC8F" wp14:editId="2848F6C1">
            <wp:extent cx="4516095" cy="3386937"/>
            <wp:effectExtent l="0" t="0" r="0" b="0"/>
            <wp:docPr id="11411871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23464" cy="3392464"/>
                    </a:xfrm>
                    <a:prstGeom prst="rect">
                      <a:avLst/>
                    </a:prstGeom>
                    <a:noFill/>
                    <a:ln>
                      <a:noFill/>
                    </a:ln>
                  </pic:spPr>
                </pic:pic>
              </a:graphicData>
            </a:graphic>
          </wp:inline>
        </w:drawing>
      </w:r>
    </w:p>
    <w:p w14:paraId="1610DD69" w14:textId="07411120" w:rsidR="008A12E8" w:rsidRPr="00CA505F" w:rsidRDefault="008A12E8" w:rsidP="008A12E8">
      <w:pPr>
        <w:pStyle w:val="Caption"/>
        <w:jc w:val="center"/>
        <w:rPr>
          <w:rFonts w:cstheme="minorHAnsi"/>
          <w:color w:val="auto"/>
        </w:rPr>
      </w:pPr>
      <w:r w:rsidRPr="00CA505F">
        <w:rPr>
          <w:rFonts w:cstheme="minorHAnsi"/>
          <w:color w:val="auto"/>
        </w:rPr>
        <w:t>Figure</w:t>
      </w:r>
      <w:r w:rsidR="00CA1E3B">
        <w:rPr>
          <w:rFonts w:cstheme="minorHAnsi"/>
          <w:color w:val="auto"/>
        </w:rPr>
        <w:t xml:space="preserve"> S</w:t>
      </w:r>
      <w:r w:rsidRPr="00CA505F">
        <w:rPr>
          <w:rFonts w:cstheme="minorHAnsi"/>
          <w:color w:val="auto"/>
        </w:rPr>
        <w:fldChar w:fldCharType="begin"/>
      </w:r>
      <w:r w:rsidRPr="00CA505F">
        <w:rPr>
          <w:rFonts w:cstheme="minorHAnsi"/>
          <w:color w:val="auto"/>
        </w:rPr>
        <w:instrText xml:space="preserve"> SEQ Figure \* ARABIC </w:instrText>
      </w:r>
      <w:r w:rsidRPr="00CA505F">
        <w:rPr>
          <w:rFonts w:cstheme="minorHAnsi"/>
          <w:color w:val="auto"/>
        </w:rPr>
        <w:fldChar w:fldCharType="separate"/>
      </w:r>
      <w:r w:rsidR="003751B9" w:rsidRPr="00CA505F">
        <w:rPr>
          <w:rFonts w:cstheme="minorHAnsi"/>
          <w:noProof/>
          <w:color w:val="auto"/>
        </w:rPr>
        <w:t>3</w:t>
      </w:r>
      <w:r w:rsidRPr="00CA505F">
        <w:rPr>
          <w:rFonts w:cstheme="minorHAnsi"/>
          <w:color w:val="auto"/>
        </w:rPr>
        <w:fldChar w:fldCharType="end"/>
      </w:r>
      <w:r w:rsidRPr="00CA505F">
        <w:rPr>
          <w:rFonts w:cstheme="minorHAnsi"/>
          <w:color w:val="auto"/>
        </w:rPr>
        <w:t>: Class distribution of the training data after oversampling.</w:t>
      </w:r>
    </w:p>
    <w:p w14:paraId="2BB3F115" w14:textId="77777777" w:rsidR="00933565" w:rsidRDefault="00933565"/>
    <w:sectPr w:rsidR="00933565">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39DF3" w14:textId="77777777" w:rsidR="007A07BF" w:rsidRDefault="007A07BF" w:rsidP="00CA1E3B">
      <w:pPr>
        <w:spacing w:after="0" w:line="240" w:lineRule="auto"/>
      </w:pPr>
      <w:r>
        <w:separator/>
      </w:r>
    </w:p>
  </w:endnote>
  <w:endnote w:type="continuationSeparator" w:id="0">
    <w:p w14:paraId="4632073E" w14:textId="77777777" w:rsidR="007A07BF" w:rsidRDefault="007A07BF" w:rsidP="00CA1E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7244309"/>
      <w:docPartObj>
        <w:docPartGallery w:val="Page Numbers (Bottom of Page)"/>
        <w:docPartUnique/>
      </w:docPartObj>
    </w:sdtPr>
    <w:sdtEndPr>
      <w:rPr>
        <w:noProof/>
      </w:rPr>
    </w:sdtEndPr>
    <w:sdtContent>
      <w:p w14:paraId="70B98266" w14:textId="21D00359" w:rsidR="00CA1E3B" w:rsidRDefault="00CA1E3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3B7572E" w14:textId="77777777" w:rsidR="00CA1E3B" w:rsidRDefault="00CA1E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83BF0" w14:textId="77777777" w:rsidR="007A07BF" w:rsidRDefault="007A07BF" w:rsidP="00CA1E3B">
      <w:pPr>
        <w:spacing w:after="0" w:line="240" w:lineRule="auto"/>
      </w:pPr>
      <w:r>
        <w:separator/>
      </w:r>
    </w:p>
  </w:footnote>
  <w:footnote w:type="continuationSeparator" w:id="0">
    <w:p w14:paraId="62612EE1" w14:textId="77777777" w:rsidR="007A07BF" w:rsidRDefault="007A07BF" w:rsidP="00CA1E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743C7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5200460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FA8"/>
    <w:rsid w:val="000F11E8"/>
    <w:rsid w:val="002424CA"/>
    <w:rsid w:val="00341465"/>
    <w:rsid w:val="00356D99"/>
    <w:rsid w:val="003751B9"/>
    <w:rsid w:val="00381FE6"/>
    <w:rsid w:val="003900A1"/>
    <w:rsid w:val="003B3A11"/>
    <w:rsid w:val="003D6A61"/>
    <w:rsid w:val="003E346A"/>
    <w:rsid w:val="00734089"/>
    <w:rsid w:val="007A07BF"/>
    <w:rsid w:val="008A12E8"/>
    <w:rsid w:val="00933565"/>
    <w:rsid w:val="009A41A3"/>
    <w:rsid w:val="009D0FA8"/>
    <w:rsid w:val="00B34AB1"/>
    <w:rsid w:val="00CA1E3B"/>
    <w:rsid w:val="00CA505F"/>
    <w:rsid w:val="00D25DC2"/>
    <w:rsid w:val="00D418E9"/>
    <w:rsid w:val="00D60429"/>
    <w:rsid w:val="00DD23B5"/>
    <w:rsid w:val="00F62BC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BA768"/>
  <w15:chartTrackingRefBased/>
  <w15:docId w15:val="{872D5730-63F2-4DBD-883E-338BC2021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0FA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D0FA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D0FA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D0FA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D0FA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D0F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0F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0F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0F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0FA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D0FA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D0FA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D0FA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D0FA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D0F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0F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0F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0FA8"/>
    <w:rPr>
      <w:rFonts w:eastAsiaTheme="majorEastAsia" w:cstheme="majorBidi"/>
      <w:color w:val="272727" w:themeColor="text1" w:themeTint="D8"/>
    </w:rPr>
  </w:style>
  <w:style w:type="paragraph" w:styleId="Title">
    <w:name w:val="Title"/>
    <w:basedOn w:val="Normal"/>
    <w:next w:val="Normal"/>
    <w:link w:val="TitleChar"/>
    <w:uiPriority w:val="10"/>
    <w:qFormat/>
    <w:rsid w:val="009D0F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0F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0F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0F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0FA8"/>
    <w:pPr>
      <w:spacing w:before="160"/>
      <w:jc w:val="center"/>
    </w:pPr>
    <w:rPr>
      <w:i/>
      <w:iCs/>
      <w:color w:val="404040" w:themeColor="text1" w:themeTint="BF"/>
    </w:rPr>
  </w:style>
  <w:style w:type="character" w:customStyle="1" w:styleId="QuoteChar">
    <w:name w:val="Quote Char"/>
    <w:basedOn w:val="DefaultParagraphFont"/>
    <w:link w:val="Quote"/>
    <w:uiPriority w:val="29"/>
    <w:rsid w:val="009D0FA8"/>
    <w:rPr>
      <w:i/>
      <w:iCs/>
      <w:color w:val="404040" w:themeColor="text1" w:themeTint="BF"/>
    </w:rPr>
  </w:style>
  <w:style w:type="paragraph" w:styleId="ListParagraph">
    <w:name w:val="List Paragraph"/>
    <w:basedOn w:val="Normal"/>
    <w:uiPriority w:val="34"/>
    <w:qFormat/>
    <w:rsid w:val="009D0FA8"/>
    <w:pPr>
      <w:ind w:left="720"/>
      <w:contextualSpacing/>
    </w:pPr>
  </w:style>
  <w:style w:type="character" w:styleId="IntenseEmphasis">
    <w:name w:val="Intense Emphasis"/>
    <w:basedOn w:val="DefaultParagraphFont"/>
    <w:uiPriority w:val="21"/>
    <w:qFormat/>
    <w:rsid w:val="009D0FA8"/>
    <w:rPr>
      <w:i/>
      <w:iCs/>
      <w:color w:val="2F5496" w:themeColor="accent1" w:themeShade="BF"/>
    </w:rPr>
  </w:style>
  <w:style w:type="paragraph" w:styleId="IntenseQuote">
    <w:name w:val="Intense Quote"/>
    <w:basedOn w:val="Normal"/>
    <w:next w:val="Normal"/>
    <w:link w:val="IntenseQuoteChar"/>
    <w:uiPriority w:val="30"/>
    <w:qFormat/>
    <w:rsid w:val="009D0F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D0FA8"/>
    <w:rPr>
      <w:i/>
      <w:iCs/>
      <w:color w:val="2F5496" w:themeColor="accent1" w:themeShade="BF"/>
    </w:rPr>
  </w:style>
  <w:style w:type="character" w:styleId="IntenseReference">
    <w:name w:val="Intense Reference"/>
    <w:basedOn w:val="DefaultParagraphFont"/>
    <w:uiPriority w:val="32"/>
    <w:qFormat/>
    <w:rsid w:val="009D0FA8"/>
    <w:rPr>
      <w:b/>
      <w:bCs/>
      <w:smallCaps/>
      <w:color w:val="2F5496" w:themeColor="accent1" w:themeShade="BF"/>
      <w:spacing w:val="5"/>
    </w:rPr>
  </w:style>
  <w:style w:type="character" w:styleId="Hyperlink">
    <w:name w:val="Hyperlink"/>
    <w:basedOn w:val="DefaultParagraphFont"/>
    <w:uiPriority w:val="99"/>
    <w:unhideWhenUsed/>
    <w:rsid w:val="009D0FA8"/>
    <w:rPr>
      <w:color w:val="0563C1" w:themeColor="hyperlink"/>
      <w:u w:val="single"/>
    </w:rPr>
  </w:style>
  <w:style w:type="paragraph" w:customStyle="1" w:styleId="MDPI13authornames">
    <w:name w:val="MDPI_1.3_authornames"/>
    <w:basedOn w:val="Normal"/>
    <w:next w:val="Normal"/>
    <w:qFormat/>
    <w:rsid w:val="009D0FA8"/>
    <w:pPr>
      <w:adjustRightInd w:val="0"/>
      <w:snapToGrid w:val="0"/>
      <w:spacing w:after="120" w:line="260" w:lineRule="atLeast"/>
    </w:pPr>
    <w:rPr>
      <w:rFonts w:ascii="Palatino Linotype" w:eastAsia="Times New Roman" w:hAnsi="Palatino Linotype" w:cs="Times New Roman"/>
      <w:b/>
      <w:color w:val="000000"/>
      <w:kern w:val="0"/>
      <w:sz w:val="20"/>
      <w:lang w:eastAsia="de-DE" w:bidi="en-US"/>
      <w14:ligatures w14:val="none"/>
    </w:rPr>
  </w:style>
  <w:style w:type="paragraph" w:customStyle="1" w:styleId="MDPI16affiliation">
    <w:name w:val="MDPI_1.6_affiliation"/>
    <w:basedOn w:val="Normal"/>
    <w:qFormat/>
    <w:rsid w:val="009D0FA8"/>
    <w:pPr>
      <w:adjustRightInd w:val="0"/>
      <w:snapToGrid w:val="0"/>
      <w:spacing w:after="0" w:line="200" w:lineRule="atLeast"/>
      <w:ind w:left="311" w:hanging="198"/>
    </w:pPr>
    <w:rPr>
      <w:rFonts w:ascii="Palatino Linotype" w:eastAsia="Times New Roman" w:hAnsi="Palatino Linotype" w:cs="Times New Roman"/>
      <w:color w:val="000000"/>
      <w:kern w:val="0"/>
      <w:sz w:val="18"/>
      <w:szCs w:val="18"/>
      <w:lang w:eastAsia="de-DE" w:bidi="en-US"/>
      <w14:ligatures w14:val="none"/>
    </w:rPr>
  </w:style>
  <w:style w:type="paragraph" w:styleId="Caption">
    <w:name w:val="caption"/>
    <w:basedOn w:val="Normal"/>
    <w:next w:val="Normal"/>
    <w:uiPriority w:val="35"/>
    <w:unhideWhenUsed/>
    <w:qFormat/>
    <w:rsid w:val="008A12E8"/>
    <w:pPr>
      <w:spacing w:after="200" w:line="240" w:lineRule="auto"/>
    </w:pPr>
    <w:rPr>
      <w:i/>
      <w:iCs/>
      <w:color w:val="44546A" w:themeColor="text2"/>
      <w:sz w:val="18"/>
      <w:szCs w:val="18"/>
    </w:rPr>
  </w:style>
  <w:style w:type="paragraph" w:styleId="Header">
    <w:name w:val="header"/>
    <w:basedOn w:val="Normal"/>
    <w:link w:val="HeaderChar"/>
    <w:uiPriority w:val="99"/>
    <w:unhideWhenUsed/>
    <w:rsid w:val="00CA1E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1E3B"/>
  </w:style>
  <w:style w:type="paragraph" w:styleId="Footer">
    <w:name w:val="footer"/>
    <w:basedOn w:val="Normal"/>
    <w:link w:val="FooterChar"/>
    <w:uiPriority w:val="99"/>
    <w:unhideWhenUsed/>
    <w:rsid w:val="00CA1E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1E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ail@e-mail.com" TargetMode="External"/><Relationship Id="rId13" Type="http://schemas.openxmlformats.org/officeDocument/2006/relationships/image" Target="media/image3.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Naderman@modares.ac.ir" TargetMode="External"/><Relationship Id="rId4" Type="http://schemas.openxmlformats.org/officeDocument/2006/relationships/settings" Target="settings.xml"/><Relationship Id="rId9" Type="http://schemas.openxmlformats.org/officeDocument/2006/relationships/hyperlink" Target="mailto:s.shojaie@irost.ir"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4784B3-A5E7-4CC3-BEF2-2AB1C865C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4</Pages>
  <Words>941</Words>
  <Characters>5366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sorena 14031105</cp:lastModifiedBy>
  <cp:revision>9</cp:revision>
  <dcterms:created xsi:type="dcterms:W3CDTF">2025-02-19T06:35:00Z</dcterms:created>
  <dcterms:modified xsi:type="dcterms:W3CDTF">2025-02-20T17:13:00Z</dcterms:modified>
</cp:coreProperties>
</file>